
<file path=[Content_Types].xml><?xml version="1.0" encoding="utf-8"?>
<Types xmlns="http://schemas.openxmlformats.org/package/2006/content-types">
  <Default ContentType="application/vnd.openxmlformats-officedocument.oleObject" Extension="bin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lang w:eastAsia="fr-FR"/>
        </w:rPr>
        <mc:AlternateContent>
          <mc:Choice Requires="wpg">
            <w:drawing>
              <wp:inline distT="0" distB="0" distL="0" distR="0">
                <wp:extent cx="1447800" cy="538776"/>
                <wp:effectExtent l="0" t="0" r="0" b="0"/>
                <wp:docPr id="1" name="Imag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AF_QUADRI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490147" cy="554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114.00pt;height:42.42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 Narrow" w:hAnsi="Arial Narrow" w:cs="Arial"/>
          <w:b/>
        </w:rPr>
      </w:r>
      <w:r>
        <w:rPr>
          <w:rFonts w:ascii="Arial Narrow" w:hAnsi="Arial Narrow" w:cs="Arial"/>
          <w:b/>
        </w:rPr>
      </w:r>
    </w:p>
    <w:p>
      <w:pPr>
        <w:pBdr/>
        <w:spacing/>
        <w:ind/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sz w:val="30"/>
          <w:szCs w:val="30"/>
        </w:rPr>
      </w:r>
      <w:r>
        <w:rPr>
          <w:rFonts w:ascii="Arial Narrow" w:hAnsi="Arial Narrow" w:cs="Arial"/>
          <w:b/>
          <w:sz w:val="30"/>
          <w:szCs w:val="30"/>
        </w:rPr>
      </w:r>
      <w:r>
        <w:rPr>
          <w:rFonts w:ascii="Arial Narrow" w:hAnsi="Arial Narrow" w:cs="Arial"/>
          <w:b/>
          <w:sz w:val="30"/>
          <w:szCs w:val="30"/>
        </w:rPr>
      </w:r>
    </w:p>
    <w:p>
      <w:pPr>
        <w:pBdr/>
        <w:spacing/>
        <w:ind/>
        <w:jc w:val="center"/>
        <w:rPr>
          <w:rFonts w:ascii="Arial Narrow" w:hAnsi="Arial Narrow"/>
          <w:b/>
          <w:sz w:val="30"/>
          <w:szCs w:val="30"/>
        </w:rPr>
      </w:pPr>
      <w:r>
        <w:rPr>
          <w:rFonts w:ascii="Arial Narrow" w:hAnsi="Arial Narrow" w:cs="Arial"/>
          <w:b/>
          <w:sz w:val="30"/>
          <w:szCs w:val="30"/>
        </w:rPr>
        <w:t xml:space="preserve">Règlement d’attribution d’une aide financière à l’acquisition d’un vélo à assistance électrique (VAE), d’un vélo cargo, d’un vélo pliant, d’un kit de transformation de vélo classique en VAE, ou </w:t>
      </w:r>
      <w:r>
        <w:rPr>
          <w:rFonts w:ascii="Arial Narrow" w:hAnsi="Arial Narrow" w:cs="Arial"/>
          <w:b/>
          <w:sz w:val="30"/>
          <w:szCs w:val="30"/>
        </w:rPr>
        <w:t xml:space="preserve">d’un châssis adaptable sur vélo classique pour en faire un triporteur 2026</w:t>
      </w:r>
      <w:r>
        <w:rPr>
          <w:rFonts w:ascii="Arial Narrow" w:hAnsi="Arial Narrow"/>
          <w:b/>
          <w:sz w:val="30"/>
          <w:szCs w:val="30"/>
        </w:rPr>
      </w:r>
      <w:r>
        <w:rPr>
          <w:rFonts w:ascii="Arial Narrow" w:hAnsi="Arial Narrow"/>
          <w:b/>
          <w:sz w:val="30"/>
          <w:szCs w:val="30"/>
        </w:rPr>
      </w:r>
    </w:p>
    <w:p>
      <w:pPr>
        <w:pBdr/>
        <w:spacing/>
        <w:ind/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</w:r>
      <w:r>
        <w:rPr>
          <w:rFonts w:ascii="Arial Narrow" w:hAnsi="Arial Narrow"/>
        </w:rPr>
      </w:r>
    </w:p>
    <w:p>
      <w:pPr>
        <w:pBdr/>
        <w:spacing/>
        <w:ind/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</w:r>
      <w:r>
        <w:rPr>
          <w:rFonts w:ascii="Arial Narrow" w:hAnsi="Arial Narrow"/>
        </w:rPr>
      </w:r>
    </w:p>
    <w:p>
      <w:pPr>
        <w:pBdr/>
        <w:spacing/>
        <w:ind/>
        <w:rPr>
          <w:sz w:val="28"/>
          <w:szCs w:val="28"/>
        </w:rPr>
      </w:pPr>
      <w:r>
        <w:rPr>
          <w:rStyle w:val="992"/>
          <w:rFonts w:ascii="Arial Narrow" w:hAnsi="Arial Narrow" w:cs="Arial"/>
          <w:b/>
          <w:sz w:val="28"/>
          <w:szCs w:val="28"/>
        </w:rPr>
        <w:t xml:space="preserve">Article 1 - Objet du règlement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Style w:val="992"/>
          <w:rFonts w:ascii="Arial Narrow" w:hAnsi="Arial Narrow" w:cs="Arial"/>
          <w:sz w:val="24"/>
          <w:szCs w:val="24"/>
        </w:rPr>
      </w:pPr>
      <w:r>
        <w:rPr>
          <w:rFonts w:ascii="Arial Narrow" w:hAnsi="Arial Narrow"/>
        </w:rPr>
        <w:br/>
      </w:r>
      <w:r>
        <w:rPr>
          <w:rStyle w:val="992"/>
          <w:rFonts w:ascii="Arial Narrow" w:hAnsi="Arial Narrow" w:cs="Arial"/>
          <w:sz w:val="24"/>
          <w:szCs w:val="24"/>
        </w:rPr>
        <w:t xml:space="preserve">Le présent règlement a pour objet de :</w:t>
      </w:r>
      <w:r>
        <w:rPr>
          <w:rStyle w:val="992"/>
          <w:rFonts w:ascii="Arial Narrow" w:hAnsi="Arial Narrow" w:cs="Arial"/>
          <w:sz w:val="24"/>
          <w:szCs w:val="24"/>
        </w:rPr>
      </w:r>
      <w:r>
        <w:rPr>
          <w:rStyle w:val="992"/>
          <w:rFonts w:ascii="Arial Narrow" w:hAnsi="Arial Narrow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Style w:val="992"/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</w:r>
      <w:r>
        <w:rPr>
          <w:rStyle w:val="992"/>
          <w:rFonts w:ascii="Arial Narrow" w:hAnsi="Arial Narrow" w:cs="Arial"/>
          <w:sz w:val="24"/>
          <w:szCs w:val="24"/>
        </w:rPr>
      </w:r>
      <w:r>
        <w:rPr>
          <w:rStyle w:val="992"/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Style w:val="992"/>
          <w:rFonts w:ascii="Arial Narrow" w:hAnsi="Arial Narrow" w:cs="Arial"/>
          <w:sz w:val="24"/>
          <w:szCs w:val="24"/>
        </w:rPr>
        <w:t xml:space="preserve">Fixer les conditions d’éligibilité à la prime à l’achat ; 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jc w:val="both"/>
        <w:rPr>
          <w:rStyle w:val="992"/>
          <w:rFonts w:ascii="Arial Narrow" w:hAnsi="Arial Narrow" w:cs="Arial"/>
          <w:sz w:val="24"/>
          <w:szCs w:val="24"/>
        </w:rPr>
      </w:pPr>
      <w:r>
        <w:rPr>
          <w:rStyle w:val="992"/>
          <w:rFonts w:ascii="Arial Narrow" w:hAnsi="Arial Narrow" w:cs="Arial"/>
          <w:sz w:val="24"/>
          <w:szCs w:val="24"/>
        </w:rPr>
        <w:t xml:space="preserve">Définir les droits et obligations de la Ville de Rill</w:t>
      </w:r>
      <w:r>
        <w:rPr>
          <w:rStyle w:val="992"/>
          <w:rFonts w:ascii="Arial Narrow" w:hAnsi="Arial Narrow" w:cs="Arial"/>
          <w:sz w:val="24"/>
          <w:szCs w:val="24"/>
        </w:rPr>
        <w:t xml:space="preserve">ieux-la-Pape et du bénéficiaire liés à l’attribution d’une subvention.</w:t>
      </w:r>
      <w:r>
        <w:rPr>
          <w:rStyle w:val="992"/>
          <w:rFonts w:ascii="Arial Narrow" w:hAnsi="Arial Narrow" w:cs="Arial"/>
          <w:sz w:val="24"/>
          <w:szCs w:val="24"/>
        </w:rPr>
      </w:r>
      <w:r>
        <w:rPr>
          <w:rStyle w:val="992"/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jc w:val="both"/>
        <w:rPr>
          <w:rStyle w:val="992"/>
          <w:rFonts w:ascii="Arial Narrow" w:hAnsi="Arial Narrow" w:cs="Arial"/>
          <w:sz w:val="24"/>
          <w:szCs w:val="24"/>
        </w:rPr>
      </w:pPr>
      <w:r>
        <w:rPr>
          <w:rStyle w:val="992"/>
          <w:rFonts w:ascii="Arial Narrow" w:hAnsi="Arial Narrow" w:cs="Arial"/>
          <w:sz w:val="24"/>
          <w:szCs w:val="24"/>
        </w:rPr>
        <w:t xml:space="preserve">Indiquer le contenu du dossier et les modalités de son instruction.</w:t>
      </w:r>
      <w:r>
        <w:rPr>
          <w:rStyle w:val="992"/>
          <w:rFonts w:ascii="Arial Narrow" w:hAnsi="Arial Narrow" w:cs="Arial"/>
          <w:sz w:val="24"/>
          <w:szCs w:val="24"/>
        </w:rPr>
      </w:r>
      <w:r>
        <w:rPr>
          <w:rStyle w:val="992"/>
          <w:rFonts w:ascii="Arial Narrow" w:hAnsi="Arial Narrow" w:cs="Arial"/>
          <w:sz w:val="24"/>
          <w:szCs w:val="24"/>
        </w:rPr>
      </w:r>
    </w:p>
    <w:p>
      <w:pPr>
        <w:pBdr/>
        <w:spacing w:line="240" w:lineRule="auto"/>
        <w:ind/>
        <w:jc w:val="both"/>
        <w:rPr>
          <w:rStyle w:val="992"/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/>
      </w:r>
      <w:r>
        <w:rPr>
          <w:rStyle w:val="992"/>
          <w:rFonts w:ascii="Arial Narrow" w:hAnsi="Arial Narrow" w:cs="Arial"/>
          <w:sz w:val="24"/>
          <w:szCs w:val="24"/>
        </w:rPr>
        <w:t xml:space="preserve">Le présent règlement peut être transmis sur simple demande ad</w:t>
      </w:r>
      <w:r>
        <w:rPr>
          <w:rStyle w:val="992"/>
          <w:rFonts w:ascii="Arial Narrow" w:hAnsi="Arial Narrow" w:cs="Arial"/>
          <w:sz w:val="24"/>
          <w:szCs w:val="24"/>
        </w:rPr>
        <w:t xml:space="preserve">ressée à la ville de Rillieux-la-</w:t>
      </w:r>
      <w:r>
        <w:rPr>
          <w:rStyle w:val="992"/>
          <w:rFonts w:ascii="Arial Narrow" w:hAnsi="Arial Narrow" w:cs="Arial"/>
          <w:sz w:val="24"/>
          <w:szCs w:val="24"/>
        </w:rPr>
        <w:t xml:space="preserve">Pape ou en le télé</w:t>
      </w:r>
      <w:r>
        <w:rPr>
          <w:rStyle w:val="992"/>
          <w:rFonts w:ascii="Arial Narrow" w:hAnsi="Arial Narrow" w:cs="Arial"/>
          <w:sz w:val="24"/>
          <w:szCs w:val="24"/>
        </w:rPr>
        <w:t xml:space="preserve">chargeant sur le site de la Ville. </w:t>
      </w:r>
      <w:r>
        <w:rPr>
          <w:rStyle w:val="992"/>
          <w:rFonts w:ascii="Arial Narrow" w:hAnsi="Arial Narrow" w:cs="Arial"/>
          <w:sz w:val="24"/>
          <w:szCs w:val="24"/>
        </w:rPr>
      </w:r>
      <w:r>
        <w:rPr>
          <w:rStyle w:val="992"/>
          <w:rFonts w:ascii="Arial Narrow" w:hAnsi="Arial Narrow" w:cs="Arial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/>
      </w:r>
      <w:r>
        <w:rPr>
          <w:rStyle w:val="992"/>
          <w:rFonts w:ascii="Arial Narrow" w:hAnsi="Arial Narrow" w:cs="Arial"/>
          <w:sz w:val="24"/>
          <w:szCs w:val="24"/>
        </w:rPr>
        <w:t xml:space="preserve">Il doit obligatoirement être accepté par les demandeurs au bénéfice de la prime à l’achat d’un</w:t>
      </w:r>
      <w:r>
        <w:rPr>
          <w:rFonts w:ascii="Arial Narrow" w:hAnsi="Arial Narrow"/>
          <w:sz w:val="24"/>
          <w:szCs w:val="24"/>
        </w:rPr>
        <w:br/>
      </w:r>
      <w:r>
        <w:rPr>
          <w:rStyle w:val="992"/>
          <w:rFonts w:ascii="Arial Narrow" w:hAnsi="Arial Narrow" w:cs="Arial"/>
          <w:sz w:val="24"/>
          <w:szCs w:val="24"/>
        </w:rPr>
        <w:t xml:space="preserve">VAE, vélo cargo, vélo pliant ou de la motorisation d’un vélo classique. A défaut, leur demande sera rejetée sans autre examen.</w:t>
      </w:r>
      <w:r>
        <w:rPr>
          <w:rFonts w:ascii="Arial Narrow" w:hAnsi="Arial Narrow"/>
          <w:sz w:val="24"/>
          <w:szCs w:val="24"/>
        </w:rPr>
      </w:r>
      <w:r>
        <w:rPr>
          <w:rFonts w:ascii="Arial Narrow" w:hAnsi="Arial Narrow"/>
          <w:sz w:val="24"/>
          <w:szCs w:val="24"/>
        </w:rPr>
      </w:r>
    </w:p>
    <w:p>
      <w:pPr>
        <w:pBdr/>
        <w:spacing w:line="240" w:lineRule="auto"/>
        <w:ind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</w:r>
      <w:r>
        <w:rPr>
          <w:rFonts w:ascii="Arial Narrow" w:hAnsi="Arial Narrow" w:cs="Arial"/>
          <w:b/>
        </w:rPr>
      </w:r>
      <w:r>
        <w:rPr>
          <w:rFonts w:ascii="Arial Narrow" w:hAnsi="Arial Narrow" w:cs="Arial"/>
          <w:b/>
        </w:rPr>
      </w:r>
    </w:p>
    <w:p>
      <w:pPr>
        <w:pBdr/>
        <w:spacing w:line="240" w:lineRule="auto"/>
        <w:ind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Article 2</w:t>
      </w:r>
      <w:r>
        <w:rPr>
          <w:rFonts w:ascii="Arial Narrow" w:hAnsi="Arial Narrow" w:cs="Arial"/>
          <w:b/>
          <w:sz w:val="28"/>
          <w:szCs w:val="28"/>
        </w:rPr>
        <w:t xml:space="preserve"> – Conditions d’éligibilité à la prime </w:t>
      </w:r>
      <w:r>
        <w:rPr>
          <w:rFonts w:ascii="Arial Narrow" w:hAnsi="Arial Narrow" w:cs="Arial"/>
          <w:b/>
          <w:sz w:val="28"/>
          <w:szCs w:val="28"/>
        </w:rPr>
      </w:r>
      <w:r>
        <w:rPr>
          <w:rFonts w:ascii="Arial Narrow" w:hAnsi="Arial Narrow" w:cs="Arial"/>
          <w:b/>
          <w:sz w:val="28"/>
          <w:szCs w:val="28"/>
        </w:rPr>
      </w:r>
    </w:p>
    <w:p>
      <w:pPr>
        <w:pBdr/>
        <w:spacing w:line="240" w:lineRule="auto"/>
        <w:ind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</w:r>
      <w:r>
        <w:rPr>
          <w:rFonts w:ascii="Arial Narrow" w:hAnsi="Arial Narrow" w:cs="Arial"/>
          <w:b/>
        </w:rPr>
      </w:r>
      <w:r>
        <w:rPr>
          <w:rFonts w:ascii="Arial Narrow" w:hAnsi="Arial Narrow" w:cs="Arial"/>
          <w:b/>
        </w:rPr>
      </w:r>
    </w:p>
    <w:p>
      <w:pPr>
        <w:pStyle w:val="993"/>
        <w:numPr>
          <w:ilvl w:val="1"/>
          <w:numId w:val="8"/>
        </w:numPr>
        <w:pBdr/>
        <w:spacing w:line="240" w:lineRule="auto"/>
        <w:ind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- Bénéficiaires éligibles</w:t>
      </w:r>
      <w:r>
        <w:rPr>
          <w:rFonts w:ascii="Arial Narrow" w:hAnsi="Arial Narrow" w:cs="Arial"/>
          <w:b/>
          <w:sz w:val="26"/>
          <w:szCs w:val="26"/>
        </w:rPr>
      </w:r>
      <w:r>
        <w:rPr>
          <w:rFonts w:ascii="Arial Narrow" w:hAnsi="Arial Narrow" w:cs="Arial"/>
          <w:b/>
          <w:sz w:val="26"/>
          <w:szCs w:val="26"/>
        </w:rPr>
      </w:r>
    </w:p>
    <w:p>
      <w:pPr>
        <w:pBdr/>
        <w:spacing w:before="240"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Sont éligibles les personnes remplissant les conditions suivantes :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7"/>
        </w:numPr>
        <w:pBdr/>
        <w:spacing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avoir sa résidence principale à Rillieux-la-Pape ;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7"/>
        </w:numPr>
        <w:pBdr/>
        <w:spacing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avoir minimum 14 ans révolus ;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</w:t>
      </w:r>
      <w:r>
        <w:rPr>
          <w:rFonts w:ascii="Arial Narrow" w:hAnsi="Arial Narrow" w:cs="Arial"/>
          <w:sz w:val="24"/>
          <w:szCs w:val="24"/>
        </w:rPr>
        <w:t xml:space="preserve">a Ville met en place un nive</w:t>
      </w:r>
      <w:r>
        <w:rPr>
          <w:rFonts w:ascii="Arial Narrow" w:hAnsi="Arial Narrow" w:cs="Arial"/>
          <w:sz w:val="24"/>
          <w:szCs w:val="24"/>
        </w:rPr>
        <w:t xml:space="preserve">au d’aide différencié en fonction du revenu : 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300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€ versés pour les personnes non imposables revenu fiscal de référence par part inférieur à 10</w:t>
      </w:r>
      <w:r>
        <w:rPr>
          <w:rFonts w:ascii="Arial Narrow" w:hAnsi="Arial Narrow" w:cs="Arial"/>
          <w:sz w:val="24"/>
          <w:szCs w:val="24"/>
        </w:rPr>
        <w:t xml:space="preserve"> </w:t>
      </w:r>
      <w:r>
        <w:rPr>
          <w:rFonts w:ascii="Arial Narrow" w:hAnsi="Arial Narrow" w:cs="Arial"/>
          <w:sz w:val="24"/>
          <w:szCs w:val="24"/>
        </w:rPr>
        <w:t xml:space="preserve">225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€ ;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250 € versés pour les personnes dont le revenu fiscal de référence par part annuel se situe entre 10 </w:t>
      </w:r>
      <w:r>
        <w:rPr>
          <w:rFonts w:ascii="Arial Narrow" w:hAnsi="Arial Narrow" w:cs="Arial"/>
          <w:sz w:val="24"/>
          <w:szCs w:val="24"/>
        </w:rPr>
        <w:t xml:space="preserve">225 € et 13 489 € ;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jc w:val="both"/>
        <w:rPr>
          <w:rFonts w:ascii="Arial Narrow" w:hAnsi="Arial Narrow" w:cs="Arial"/>
          <w:sz w:val="24"/>
          <w:szCs w:val="24"/>
        </w:rPr>
      </w:pPr>
      <w:r/>
      <w:bookmarkStart w:id="0" w:name="_GoBack"/>
      <w:r/>
      <w:bookmarkEnd w:id="0"/>
      <w:r>
        <w:rPr>
          <w:rFonts w:ascii="Arial Narrow" w:hAnsi="Arial Narrow" w:cs="Arial"/>
          <w:sz w:val="24"/>
          <w:szCs w:val="24"/>
        </w:rPr>
        <w:t xml:space="preserve">150 € versés pour les personnes dont le revenu fiscal de référence par part annuel est compris entre 13 489 € et 26 070 € ;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after="0"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100 € versés pour les personnes dont le revenu fiscal de référence par part est égal ou supérieur à 26 071 €.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cs="Arial"/>
          <w:sz w:val="24"/>
          <w:szCs w:val="24"/>
          <w14:ligatures w14:val="none"/>
        </w:rPr>
      </w:pPr>
      <w:r>
        <w:rPr>
          <w:rFonts w:ascii="Arial Narrow" w:hAnsi="Arial Narrow" w:cs="Arial"/>
          <w:sz w:val="24"/>
          <w:szCs w:val="24"/>
        </w:rPr>
        <w:t xml:space="preserve">L’aide de la ville de Rillieux-la-Pape est </w:t>
      </w:r>
      <w:r>
        <w:rPr>
          <w:rFonts w:ascii="Arial Narrow" w:hAnsi="Arial Narrow" w:cs="Arial"/>
          <w:b/>
          <w:bCs/>
          <w:sz w:val="24"/>
          <w:szCs w:val="24"/>
        </w:rPr>
        <w:t xml:space="preserve">cumulable</w:t>
      </w:r>
      <w:r>
        <w:rPr>
          <w:rFonts w:ascii="Arial Narrow" w:hAnsi="Arial Narrow" w:cs="Arial"/>
          <w:b/>
          <w:bCs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avec l’aide de la Métropole de Lyon </w:t>
      </w:r>
      <w:r>
        <w:rPr>
          <w:rFonts w:ascii="Arial Narrow" w:hAnsi="Arial Narrow" w:cs="Arial"/>
          <w:sz w:val="24"/>
          <w:szCs w:val="24"/>
        </w:rPr>
        <w:t xml:space="preserve">sous réserve de ne pas excéder </w:t>
      </w:r>
      <w:r>
        <w:rPr>
          <w:rFonts w:ascii="Arial Narrow" w:hAnsi="Arial Narrow" w:cs="Arial"/>
          <w:b/>
          <w:bCs/>
          <w:sz w:val="24"/>
          <w:szCs w:val="24"/>
        </w:rPr>
        <w:t xml:space="preserve">80 %</w:t>
      </w:r>
      <w:r>
        <w:rPr>
          <w:rFonts w:ascii="Arial Narrow" w:hAnsi="Arial Narrow" w:cs="Arial"/>
          <w:sz w:val="24"/>
          <w:szCs w:val="24"/>
        </w:rPr>
        <w:t xml:space="preserve"> du montant d’achat.</w:t>
      </w:r>
      <w:r>
        <w:rPr>
          <w:rFonts w:ascii="Arial Narrow" w:hAnsi="Arial Narrow" w:cs="Arial"/>
          <w:sz w:val="24"/>
          <w:szCs w:val="24"/>
          <w14:ligatures w14:val="none"/>
        </w:rPr>
      </w:r>
      <w:r>
        <w:rPr>
          <w:rFonts w:ascii="Arial Narrow" w:hAnsi="Arial Narrow" w:cs="Arial"/>
          <w:sz w:val="24"/>
          <w:szCs w:val="24"/>
          <w14:ligatures w14:val="none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  <w:highlight w:val="none"/>
        </w:rPr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cs="Arial"/>
          <w:sz w:val="24"/>
          <w:szCs w:val="24"/>
          <w14:ligatures w14:val="none"/>
        </w:rPr>
      </w:pPr>
      <w:r>
        <w:rPr>
          <w:rFonts w:ascii="Arial Narrow" w:hAnsi="Arial Narrow" w:cs="Arial"/>
          <w:sz w:val="24"/>
          <w:szCs w:val="24"/>
        </w:rPr>
        <w:t xml:space="preserve">L’aide de la Métropole doit être demandée en préalable à l’aide de la Ville.</w:t>
      </w:r>
      <w:r>
        <w:rPr>
          <w:rFonts w:ascii="Arial Narrow" w:hAnsi="Arial Narrow" w:cs="Arial"/>
          <w:sz w:val="24"/>
          <w:szCs w:val="24"/>
          <w14:ligatures w14:val="none"/>
        </w:rPr>
      </w:r>
      <w:r>
        <w:rPr>
          <w:rFonts w:ascii="Arial Narrow" w:hAnsi="Arial Narrow" w:cs="Arial"/>
          <w:sz w:val="24"/>
          <w:szCs w:val="24"/>
          <w14:ligatures w14:val="none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L’aide ne peut être octroyée </w:t>
      </w:r>
      <w:r>
        <w:rPr>
          <w:rFonts w:ascii="Arial Narrow" w:hAnsi="Arial Narrow" w:cs="Arial"/>
          <w:b/>
          <w:sz w:val="24"/>
          <w:szCs w:val="24"/>
        </w:rPr>
        <w:t xml:space="preserve">qu’une seule fois</w:t>
      </w:r>
      <w:r>
        <w:rPr>
          <w:rFonts w:ascii="Arial Narrow" w:hAnsi="Arial Narrow" w:cs="Arial"/>
          <w:sz w:val="24"/>
          <w:szCs w:val="24"/>
        </w:rPr>
        <w:t xml:space="preserve"> tous les 4 ans pour l’achat d’un </w:t>
      </w:r>
      <w:r>
        <w:rPr>
          <w:rFonts w:ascii="Arial Narrow" w:hAnsi="Arial Narrow" w:cs="Arial"/>
          <w:b/>
          <w:sz w:val="24"/>
          <w:szCs w:val="24"/>
        </w:rPr>
        <w:t xml:space="preserve">seul matériel éligible</w:t>
      </w:r>
      <w:r>
        <w:rPr>
          <w:rFonts w:ascii="Arial Narrow" w:hAnsi="Arial Narrow" w:cs="Arial"/>
          <w:sz w:val="24"/>
          <w:szCs w:val="24"/>
        </w:rPr>
        <w:t xml:space="preserve"> et pour </w:t>
      </w:r>
      <w:r>
        <w:rPr>
          <w:rFonts w:ascii="Arial Narrow" w:hAnsi="Arial Narrow" w:cs="Arial"/>
          <w:b/>
          <w:sz w:val="24"/>
          <w:szCs w:val="24"/>
        </w:rPr>
        <w:t xml:space="preserve">un même bénéficiaire</w:t>
      </w:r>
      <w:r>
        <w:rPr>
          <w:rFonts w:ascii="Arial Narrow" w:hAnsi="Arial Narrow" w:cs="Arial"/>
          <w:sz w:val="24"/>
          <w:szCs w:val="24"/>
        </w:rPr>
        <w:t xml:space="preserve">. 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line="240" w:lineRule="auto"/>
        <w:ind w:firstLine="708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2.2 - Équipements éligibles </w:t>
      </w:r>
      <w:r>
        <w:rPr>
          <w:rFonts w:ascii="Arial Narrow" w:hAnsi="Arial Narrow" w:cs="Arial"/>
          <w:b/>
          <w:sz w:val="26"/>
          <w:szCs w:val="26"/>
        </w:rPr>
      </w:r>
      <w:r>
        <w:rPr>
          <w:rFonts w:ascii="Arial Narrow" w:hAnsi="Arial Narrow" w:cs="Arial"/>
          <w:b/>
          <w:sz w:val="26"/>
          <w:szCs w:val="26"/>
        </w:rPr>
      </w:r>
    </w:p>
    <w:p>
      <w:pPr>
        <w:pBdr/>
        <w:spacing w:line="240" w:lineRule="auto"/>
        <w:ind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</w:rPr>
        <w:br/>
      </w:r>
      <w:r>
        <w:rPr>
          <w:rFonts w:ascii="Arial Narrow" w:hAnsi="Arial Narrow" w:cs="Arial"/>
          <w:sz w:val="24"/>
          <w:szCs w:val="24"/>
        </w:rPr>
        <w:t xml:space="preserve">Les vélos concernés par la prime à l’achat de Rillieux-la-Pape sont :</w:t>
      </w:r>
      <w:r>
        <w:rPr>
          <w:rFonts w:ascii="Arial Narrow" w:hAnsi="Arial Narrow" w:cs="Arial"/>
          <w:b/>
          <w:sz w:val="24"/>
          <w:szCs w:val="24"/>
        </w:rPr>
      </w:r>
      <w:r>
        <w:rPr>
          <w:rFonts w:ascii="Arial Narrow" w:hAnsi="Arial Narrow" w:cs="Arial"/>
          <w:b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Les vélos à assistance électrique (VAE) neufs ou d’occasions ;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Les vélos pliants neufs ou d’occasions ; 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Les vélos cargos neufs ou d’occasions ; 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Les kits permettant de transform</w:t>
      </w:r>
      <w:r>
        <w:rPr>
          <w:rFonts w:ascii="Arial Narrow" w:hAnsi="Arial Narrow" w:cs="Arial"/>
          <w:sz w:val="24"/>
          <w:szCs w:val="24"/>
        </w:rPr>
        <w:t xml:space="preserve">er un vélo classique en VAE ;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Style w:val="993"/>
        <w:numPr>
          <w:ilvl w:val="0"/>
          <w:numId w:val="1"/>
        </w:numPr>
        <w:pBdr/>
        <w:spacing w:line="240" w:lineRule="auto"/>
        <w:ind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Les châssis 2 roues permettant de transformer un vélo en vélo cargo. </w:t>
      </w:r>
      <w:r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</w:t>
      </w:r>
      <w:r>
        <w:rPr>
          <w:rFonts w:ascii="Arial Narrow" w:hAnsi="Arial Narrow" w:cs="Arial"/>
          <w:sz w:val="24"/>
          <w:szCs w:val="24"/>
        </w:rPr>
        <w:t xml:space="preserve">euls les achats de matériels réalisés entre le </w:t>
      </w:r>
      <w:r>
        <w:rPr>
          <w:rFonts w:ascii="Arial Narrow" w:hAnsi="Arial Narrow" w:cs="Arial"/>
          <w:b/>
          <w:sz w:val="24"/>
          <w:szCs w:val="24"/>
        </w:rPr>
        <w:t xml:space="preserve">1</w:t>
      </w:r>
      <w:r>
        <w:rPr>
          <w:rFonts w:ascii="Arial Narrow" w:hAnsi="Arial Narrow" w:cs="Arial"/>
          <w:b/>
          <w:sz w:val="24"/>
          <w:szCs w:val="24"/>
          <w:vertAlign w:val="superscript"/>
        </w:rPr>
        <w:t xml:space="preserve">er</w:t>
      </w:r>
      <w:r>
        <w:rPr>
          <w:rFonts w:ascii="Arial Narrow" w:hAnsi="Arial Narrow" w:cs="Arial"/>
          <w:b/>
          <w:sz w:val="24"/>
          <w:szCs w:val="24"/>
        </w:rPr>
        <w:t xml:space="preserve"> janvier 2026 et le 31 décembre 2026 </w:t>
      </w:r>
      <w:r>
        <w:rPr>
          <w:rFonts w:ascii="Arial Narrow" w:hAnsi="Arial Narrow" w:cs="Arial"/>
          <w:sz w:val="24"/>
          <w:szCs w:val="24"/>
        </w:rPr>
        <w:t xml:space="preserve">seront pris en compte. 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Seuls les achats de matériels réalisés da</w:t>
      </w:r>
      <w:r>
        <w:rPr>
          <w:rFonts w:ascii="Arial Narrow" w:hAnsi="Arial Narrow" w:cs="Arial"/>
          <w:sz w:val="24"/>
          <w:szCs w:val="24"/>
        </w:rPr>
        <w:t xml:space="preserve">ns l’une des </w:t>
      </w:r>
      <w:r>
        <w:rPr>
          <w:rFonts w:ascii="Arial Narrow" w:hAnsi="Arial Narrow" w:cs="Arial"/>
          <w:b/>
          <w:sz w:val="24"/>
          <w:szCs w:val="24"/>
        </w:rPr>
        <w:t xml:space="preserve">59 communes de la Métropole de Lyon</w:t>
      </w:r>
      <w:r>
        <w:rPr>
          <w:rFonts w:ascii="Arial Narrow" w:hAnsi="Arial Narrow" w:cs="Arial"/>
          <w:sz w:val="24"/>
          <w:szCs w:val="24"/>
        </w:rPr>
        <w:t xml:space="preserve"> seront pris en compte. En vue de la situation géographique de Rillieux-la-Pape, la ville fera preuve de tolérance pour l’achat de matériels réalisés dans l’Ain à la frontière avec Rillieux-la-Pape. 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Seuls le</w:t>
      </w:r>
      <w:r>
        <w:rPr>
          <w:rFonts w:ascii="Arial Narrow" w:hAnsi="Arial Narrow" w:cs="Arial"/>
          <w:sz w:val="24"/>
          <w:szCs w:val="24"/>
        </w:rPr>
        <w:t xml:space="preserve">s achats de matériels réalisés chez un </w:t>
      </w:r>
      <w:r>
        <w:rPr>
          <w:rFonts w:ascii="Arial Narrow" w:hAnsi="Arial Narrow" w:cs="Arial"/>
          <w:b/>
          <w:sz w:val="24"/>
          <w:szCs w:val="24"/>
        </w:rPr>
        <w:t xml:space="preserve">commerçant professionnel</w:t>
      </w:r>
      <w:r>
        <w:rPr>
          <w:rFonts w:ascii="Arial Narrow" w:hAnsi="Arial Narrow" w:cs="Arial"/>
          <w:sz w:val="24"/>
          <w:szCs w:val="24"/>
        </w:rPr>
        <w:t xml:space="preserve"> ou auprès d’un </w:t>
      </w:r>
      <w:r>
        <w:rPr>
          <w:rFonts w:ascii="Arial Narrow" w:hAnsi="Arial Narrow" w:cs="Arial"/>
          <w:b/>
          <w:sz w:val="24"/>
          <w:szCs w:val="24"/>
        </w:rPr>
        <w:t xml:space="preserve">atelier associatif</w:t>
      </w:r>
      <w:r>
        <w:rPr>
          <w:rFonts w:ascii="Arial Narrow" w:hAnsi="Arial Narrow" w:cs="Arial"/>
          <w:sz w:val="24"/>
          <w:szCs w:val="24"/>
        </w:rPr>
        <w:t xml:space="preserve"> reconnu d’auto réparation vélo seront pris en compte (que ce soit pour du matériel neuf ou d’occasion).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5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jc w:val="both"/>
        <w:rPr>
          <w:rFonts w:ascii="Arial Narrow" w:hAnsi="Arial Narrow" w:cs="Arial"/>
          <w:sz w:val="24"/>
          <w:szCs w:val="24"/>
          <w14:ligatures w14:val="none"/>
        </w:rPr>
      </w:pPr>
      <w:r>
        <w:rPr>
          <w:rFonts w:ascii="Arial Narrow" w:hAnsi="Arial Narrow" w:cs="Arial"/>
          <w:sz w:val="24"/>
          <w:szCs w:val="24"/>
        </w:rPr>
        <w:t xml:space="preserve">Pour les achats effectués sur des sites internet marchands ne proposant pas le </w:t>
      </w:r>
      <w:r>
        <w:rPr>
          <w:rFonts w:ascii="Arial Narrow" w:hAnsi="Arial Narrow" w:cs="Arial"/>
          <w:sz w:val="24"/>
          <w:szCs w:val="24"/>
        </w:rPr>
        <w:t xml:space="preserve">retrait du vélo dans un établissement implanté sur le territoire de la Métropole ne sont pas éligibles à l'aide</w:t>
      </w:r>
      <w:r>
        <w:rPr>
          <w:rFonts w:ascii="Arial Narrow" w:hAnsi="Arial Narrow" w:cs="Arial"/>
          <w:sz w:val="24"/>
          <w:szCs w:val="24"/>
        </w:rPr>
        <w:t xml:space="preserve">.</w:t>
      </w:r>
      <w:r>
        <w:rPr>
          <w:rFonts w:ascii="Arial Narrow" w:hAnsi="Arial Narrow" w:cs="Arial"/>
          <w:sz w:val="24"/>
          <w:szCs w:val="24"/>
          <w14:ligatures w14:val="none"/>
        </w:rPr>
      </w:r>
      <w:r>
        <w:rPr>
          <w:rFonts w:ascii="Arial Narrow" w:hAnsi="Arial Narrow" w:cs="Arial"/>
          <w:sz w:val="24"/>
          <w:szCs w:val="24"/>
          <w14:ligatures w14:val="none"/>
        </w:rPr>
      </w:r>
    </w:p>
    <w:p>
      <w:pPr>
        <w:pBdr/>
        <w:spacing w:line="240" w:lineRule="auto"/>
        <w:ind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</w:r>
      <w:r>
        <w:rPr>
          <w:rFonts w:ascii="Arial Narrow" w:hAnsi="Arial Narrow" w:cs="Arial"/>
        </w:rPr>
      </w:r>
      <w:r>
        <w:rPr>
          <w:rFonts w:ascii="Arial Narrow" w:hAnsi="Arial Narrow" w:cs="Arial"/>
        </w:rPr>
      </w:r>
    </w:p>
    <w:p>
      <w:pPr>
        <w:pBdr/>
        <w:spacing w:after="0" w:line="240" w:lineRule="auto"/>
        <w:ind/>
        <w:rPr>
          <w:rFonts w:ascii="Arial Narrow" w:hAnsi="Arial Narrow" w:eastAsia="Times New Roman" w:cs="Arial"/>
          <w:b/>
          <w:sz w:val="28"/>
          <w:szCs w:val="28"/>
          <w:lang w:eastAsia="fr-FR"/>
        </w:rPr>
      </w:pP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  <w:t xml:space="preserve">Article 3 - Modalités de versement de l’aide</w:t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Arial Narrow" w:hAnsi="Arial Narrow" w:eastAsia="Times New Roman" w:cs="Times New Roman"/>
          <w:lang w:eastAsia="fr-FR"/>
        </w:rPr>
        <w:br/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Le bénéficiaire doit remplir le formulaire d’attribution et de l’attestation sur l’honneur accessible sur le site de la ville de Rillieux-la-Pape. 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.  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Le formulaire doit être accompagné des pièces justificatives suivantes :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Arial Narrow" w:hAnsi="Arial Narrow" w:eastAsia="Times New Roman" w:cs="Times New Roman"/>
          <w:sz w:val="24"/>
          <w:szCs w:val="24"/>
          <w:lang w:eastAsia="fr-FR"/>
        </w:rPr>
        <w:br/>
      </w:r>
      <w:r>
        <w:rPr>
          <w:rFonts w:ascii="Symbol" w:hAnsi="Symbol" w:eastAsia="Symbol" w:cs="Symbol"/>
          <w:sz w:val="24"/>
          <w:szCs w:val="24"/>
        </w:rPr>
        <w:t xml:space="preserve">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 Copie de la facture d'achat acquittée du vélo datant de 2026, mentionnant : nom et prénom, adresse du demandeur, date d'acquisition, références et prix du vélo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 ;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Symbol" w:hAnsi="Symbol" w:eastAsia="Symbol" w:cs="Symbol"/>
          <w:sz w:val="24"/>
          <w:szCs w:val="24"/>
        </w:rPr>
        <w:t xml:space="preserve">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Copie du certificat d’homologation du vélo ou de sa notice technique ou une attestation du respect de la norme NF EN 15194 ;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Arial Narrow" w:hAnsi="Arial Narrow" w:eastAsia="Times New Roman" w:cs="Times New Roman"/>
          <w:sz w:val="24"/>
          <w:szCs w:val="24"/>
          <w:lang w:eastAsia="fr-FR"/>
        </w:rPr>
        <w:br/>
      </w:r>
      <w:r>
        <w:rPr>
          <w:rFonts w:ascii="Symbol" w:hAnsi="Symbol" w:eastAsia="Symbol" w:cs="Symbol"/>
          <w:sz w:val="24"/>
          <w:szCs w:val="24"/>
        </w:rPr>
        <w:t xml:space="preserve">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Justificatif de domicile datant de moins de 6 mois (facture d’eau, d’électricité, de téléphone fixe,</w:t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  <w:br/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quittance d'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assurance, quittance de loyer...). En cas d’hébergement, fournir une attestation sur l’honneur faite par l’hébergeur en plus du justificatif de domicile ;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Symbol" w:hAnsi="Symbol" w:eastAsia="Symbol" w:cs="Symbol"/>
          <w:sz w:val="24"/>
          <w:szCs w:val="24"/>
        </w:rPr>
        <w:t xml:space="preserve">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Relevé d’Identité Bancaire au nom du bénéficiaire ;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pPr>
      <w:r>
        <w:rPr>
          <w:rFonts w:ascii="Arial Narrow" w:hAnsi="Arial Narrow" w:eastAsia="Times New Roman" w:cs="Times New Roman"/>
          <w:sz w:val="24"/>
          <w:szCs w:val="24"/>
          <w:lang w:eastAsia="fr-FR"/>
        </w:rPr>
        <w:br/>
      </w:r>
      <w:r>
        <w:rPr>
          <w:rFonts w:ascii="Symbol" w:hAnsi="Symbol" w:eastAsia="Symbol" w:cs="Symbol"/>
          <w:sz w:val="24"/>
          <w:szCs w:val="24"/>
        </w:rPr>
        <w:t xml:space="preserve"></w:t>
      </w:r>
      <w:r>
        <w:rPr>
          <w:rFonts w:ascii="Arial Narrow" w:hAnsi="Arial Narrow" w:cs="Arial"/>
          <w:sz w:val="24"/>
          <w:szCs w:val="24"/>
        </w:rPr>
        <w:t xml:space="preserve"> Copie de toutes les pages de l’a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vis d’impos</w:t>
      </w:r>
      <w:r>
        <w:rPr>
          <w:rFonts w:ascii="Arial Narrow" w:hAnsi="Arial Narrow" w:eastAsia="Times New Roman" w:cs="Arial"/>
          <w:sz w:val="24"/>
          <w:szCs w:val="24"/>
          <w:lang w:eastAsia="fr-FR"/>
        </w:rPr>
        <w:t xml:space="preserve">ition établi en 2026 sur les revenus 2025.</w:t>
      </w:r>
      <w:r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r>
    </w:p>
    <w:p>
      <w:pPr>
        <w:pBdr/>
        <w:spacing w:after="0" w:line="240" w:lineRule="auto"/>
        <w:ind w:firstLine="0" w:left="0"/>
        <w:jc w:val="both"/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pPr>
      <w:r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pPr>
      <w:r>
        <w:rPr>
          <w:rFonts w:ascii="Arial Narrow" w:hAnsi="Arial Narrow" w:eastAsia="Times New Roman" w:cs="Times New Roman"/>
          <w:sz w:val="24"/>
          <w:szCs w:val="24"/>
          <w:lang w:eastAsia="fr-FR"/>
        </w:rPr>
      </w:r>
      <w:r>
        <w:rPr>
          <w:rFonts w:ascii="Symbol" w:hAnsi="Symbol" w:eastAsia="Symbol" w:cs="Symbol"/>
          <w:sz w:val="24"/>
          <w:szCs w:val="24"/>
        </w:rPr>
        <w:t xml:space="preserve"></w:t>
      </w:r>
      <w:r>
        <w:rPr>
          <w:rFonts w:ascii="Arial Narrow" w:hAnsi="Arial Narrow" w:cs="Arial"/>
          <w:sz w:val="24"/>
          <w:szCs w:val="24"/>
        </w:rPr>
        <w:t xml:space="preserve"> Justificatif attestant avoir fait sa demande d’aide à la Métropole de Lyon et indiquant le montant de l’aide Métropole. </w:t>
      </w:r>
      <w:r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highlight w:val="none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sz w:val="24"/>
          <w:szCs w:val="24"/>
          <w:lang w:eastAsia="fr-FR"/>
        </w:rPr>
      </w:pP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sz w:val="24"/>
          <w:szCs w:val="24"/>
          <w:lang w:eastAsia="fr-FR"/>
        </w:rPr>
      </w:r>
    </w:p>
    <w:p>
      <w:pPr>
        <w:pBdr/>
        <w:spacing/>
        <w:ind/>
        <w:jc w:val="both"/>
        <w:rPr>
          <w:rFonts w:ascii="Arial Narrow" w:hAnsi="Arial Narrow" w:eastAsia="Times New Roman" w:cs="Arial"/>
          <w:b/>
          <w:sz w:val="24"/>
          <w:szCs w:val="24"/>
          <w:lang w:eastAsia="fr-FR"/>
        </w:rPr>
      </w:pP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  <w:t xml:space="preserve">Tout dossier incomplet sera refusé.</w:t>
      </w: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</w:p>
    <w:p>
      <w:pPr>
        <w:pBdr/>
        <w:spacing w:line="276" w:lineRule="auto"/>
        <w:ind/>
        <w:jc w:val="both"/>
        <w:rPr>
          <w:rFonts w:ascii="Arial Narrow" w:hAnsi="Arial Narrow" w:eastAsia="Times New Roman" w:cs="Times New Roman"/>
          <w:sz w:val="24"/>
          <w:szCs w:val="24"/>
          <w:lang w:eastAsia="fr-FR"/>
        </w:rPr>
      </w:pPr>
      <w:r>
        <w:rPr>
          <w:rFonts w:ascii="Arial Narrow" w:hAnsi="Arial Narrow"/>
          <w:sz w:val="24"/>
          <w:szCs w:val="24"/>
        </w:rPr>
        <w:t xml:space="preserve">Un fois le dossier complet </w:t>
      </w:r>
      <w:r>
        <w:rPr>
          <w:rFonts w:ascii="Arial Narrow" w:hAnsi="Arial Narrow" w:cs="Arial"/>
          <w:sz w:val="24"/>
          <w:szCs w:val="24"/>
        </w:rPr>
        <w:t xml:space="preserve">transmis à la Ville de Rillieux-la-Pape et a</w:t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  <w:t xml:space="preserve">près examen du dossier, une convention d’aide à l’achat est rédigée par la Ville </w:t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  <w:t xml:space="preserve">et envoyé au bénéficiaire. </w:t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</w:r>
    </w:p>
    <w:p>
      <w:pPr>
        <w:pBdr/>
        <w:spacing w:line="276" w:lineRule="auto"/>
        <w:ind/>
        <w:jc w:val="both"/>
        <w:rPr>
          <w:rFonts w:ascii="Arial Narrow" w:hAnsi="Arial Narrow" w:eastAsia="Times New Roman" w:cs="Times New Roman"/>
          <w:sz w:val="24"/>
          <w:szCs w:val="24"/>
          <w:lang w:eastAsia="fr-FR"/>
        </w:rPr>
      </w:pPr>
      <w:r>
        <w:rPr>
          <w:rFonts w:ascii="Arial Narrow" w:hAnsi="Arial Narrow" w:eastAsia="Times New Roman" w:cs="Times New Roman"/>
          <w:sz w:val="24"/>
          <w:szCs w:val="24"/>
          <w:lang w:eastAsia="fr-FR"/>
        </w:rPr>
        <w:t xml:space="preserve">A réception de cette convention, le bénéficiaire doit la retourner dûment complétée et signée.</w:t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</w:r>
    </w:p>
    <w:p>
      <w:pPr>
        <w:pBdr/>
        <w:spacing w:line="276" w:lineRule="auto"/>
        <w:ind/>
        <w:jc w:val="both"/>
        <w:rPr>
          <w:rFonts w:ascii="Arial Narrow" w:hAnsi="Arial Narrow" w:eastAsia="Times New Roman" w:cs="Times New Roman"/>
          <w:sz w:val="24"/>
          <w:szCs w:val="24"/>
          <w:lang w:eastAsia="fr-FR"/>
        </w:rPr>
      </w:pPr>
      <w:r>
        <w:rPr>
          <w:rFonts w:ascii="Arial Narrow" w:hAnsi="Arial Narrow" w:cs="Arial"/>
          <w:sz w:val="24"/>
          <w:szCs w:val="24"/>
        </w:rPr>
        <w:t xml:space="preserve">La durée entre la notification et le paiement effectif sur le compte bancaire du bénéficiaire peut être</w:t>
      </w:r>
      <w:r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 w:cs="Arial"/>
          <w:sz w:val="24"/>
          <w:szCs w:val="24"/>
        </w:rPr>
        <w:t xml:space="preserve">de plusieurs mois et dépend d</w:t>
      </w:r>
      <w:r>
        <w:rPr>
          <w:rFonts w:ascii="Arial Narrow" w:hAnsi="Arial Narrow" w:cs="Arial"/>
          <w:sz w:val="24"/>
          <w:szCs w:val="24"/>
        </w:rPr>
        <w:t xml:space="preserve">e la capacité des services comptable à opérer des</w:t>
      </w:r>
      <w:r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 w:cs="Arial"/>
          <w:sz w:val="24"/>
          <w:szCs w:val="24"/>
        </w:rPr>
        <w:t xml:space="preserve">volumes de demandes parfois importants.</w:t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</w:r>
      <w:r>
        <w:rPr>
          <w:rFonts w:ascii="Arial Narrow" w:hAnsi="Arial Narrow" w:eastAsia="Times New Roman" w:cs="Times New Roman"/>
          <w:sz w:val="24"/>
          <w:szCs w:val="24"/>
          <w:lang w:eastAsia="fr-FR"/>
        </w:rPr>
      </w:r>
    </w:p>
    <w:p>
      <w:pPr>
        <w:pBdr/>
        <w:spacing w:after="0" w:line="240" w:lineRule="auto"/>
        <w:ind/>
        <w:rPr>
          <w:rFonts w:ascii="Arial Narrow" w:hAnsi="Arial Narrow" w:eastAsia="Times New Roman" w:cs="Arial"/>
          <w:b/>
          <w:sz w:val="28"/>
          <w:szCs w:val="28"/>
          <w:lang w:eastAsia="fr-FR"/>
        </w:rPr>
      </w:pP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  <w:t xml:space="preserve">Article 4 – Restitution de la prime vélo</w:t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</w:p>
    <w:p>
      <w:pPr>
        <w:pBdr/>
        <w:spacing w:after="0" w:line="240" w:lineRule="auto"/>
        <w:ind/>
        <w:rPr>
          <w:rFonts w:ascii="Arial Narrow" w:hAnsi="Arial Narrow" w:eastAsia="Times New Roman" w:cs="Arial"/>
          <w:b/>
          <w:sz w:val="28"/>
          <w:szCs w:val="28"/>
          <w:lang w:eastAsia="fr-FR"/>
        </w:rPr>
      </w:pP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/>
        <w:jc w:val="both"/>
        <w:rPr>
          <w:rFonts w:ascii="Arial Narrow" w:hAnsi="Arial Narrow" w:eastAsia="Arial Narrow" w:cs="Arial Narrow"/>
          <w:sz w:val="24"/>
          <w:szCs w:val="28"/>
        </w:rPr>
      </w:pPr>
      <w:r>
        <w:rPr>
          <w:rFonts w:ascii="Arial Narrow" w:hAnsi="Arial Narrow" w:eastAsia="Arial Narrow" w:cs="Arial Narrow"/>
          <w:color w:val="000000"/>
          <w:sz w:val="24"/>
        </w:rPr>
        <w:t xml:space="preserve">Dans l’hypothèse où le matériel, pour le compte duquel la prime à l’achat a été</w:t>
      </w:r>
      <w:r>
        <w:rPr>
          <w:rFonts w:ascii="Arial Narrow" w:hAnsi="Arial Narrow" w:eastAsia="Arial Narrow" w:cs="Arial Narrow"/>
          <w:sz w:val="24"/>
        </w:rPr>
        <w:t xml:space="preserve"> </w:t>
      </w:r>
      <w:r>
        <w:rPr>
          <w:rFonts w:ascii="Arial Narrow" w:hAnsi="Arial Narrow" w:eastAsia="Arial Narrow" w:cs="Arial Narrow"/>
          <w:color w:val="000000"/>
          <w:sz w:val="24"/>
        </w:rPr>
        <w:t xml:space="preserve">versée, viendrait à être</w:t>
      </w:r>
      <w:r>
        <w:rPr>
          <w:rFonts w:ascii="Arial Narrow" w:hAnsi="Arial Narrow" w:eastAsia="Arial Narrow" w:cs="Arial Narrow"/>
          <w:color w:val="000000"/>
          <w:sz w:val="24"/>
        </w:rPr>
        <w:t xml:space="preserve"> revendu, le bénéficiaire devra restituer ladite prime à Rillieux-la-Pape.</w:t>
      </w:r>
      <w:r>
        <w:rPr>
          <w:rFonts w:ascii="Arial Narrow" w:hAnsi="Arial Narrow" w:eastAsia="Arial Narrow" w:cs="Arial Narrow"/>
          <w:sz w:val="24"/>
          <w:szCs w:val="28"/>
        </w:rPr>
      </w:r>
      <w:r>
        <w:rPr>
          <w:rFonts w:ascii="Arial Narrow" w:hAnsi="Arial Narrow" w:eastAsia="Arial Narrow" w:cs="Arial Narrow"/>
          <w:sz w:val="24"/>
          <w:szCs w:val="28"/>
        </w:rPr>
      </w:r>
    </w:p>
    <w:p>
      <w:pPr>
        <w:pBdr/>
        <w:spacing w:after="0" w:line="240" w:lineRule="auto"/>
        <w:ind/>
        <w:rPr>
          <w:rFonts w:ascii="Arial Narrow" w:hAnsi="Arial Narrow" w:eastAsia="Times New Roman" w:cs="Arial"/>
          <w:b/>
          <w:sz w:val="28"/>
          <w:szCs w:val="28"/>
          <w:lang w:eastAsia="fr-FR"/>
        </w:rPr>
      </w:pP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</w:p>
    <w:p>
      <w:pPr>
        <w:pBdr/>
        <w:spacing w:after="0" w:line="240" w:lineRule="auto"/>
        <w:ind/>
        <w:rPr>
          <w:rFonts w:ascii="Arial Narrow" w:hAnsi="Arial Narrow" w:eastAsia="Times New Roman" w:cs="Arial"/>
          <w:lang w:eastAsia="fr-FR"/>
        </w:rPr>
      </w:pP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  <w:t xml:space="preserve">Article 5 – Durée de mise en œuvre du dispositif d’aide </w:t>
      </w:r>
      <w:r>
        <w:rPr>
          <w:rFonts w:ascii="Arial Narrow" w:hAnsi="Arial Narrow" w:eastAsia="Times New Roman" w:cs="Arial"/>
          <w:lang w:eastAsia="fr-FR"/>
        </w:rPr>
      </w:r>
      <w:r>
        <w:rPr>
          <w:rFonts w:ascii="Arial Narrow" w:hAnsi="Arial Narrow" w:eastAsia="Times New Roman" w:cs="Arial"/>
          <w:lang w:eastAsia="fr-FR"/>
        </w:rPr>
      </w:r>
    </w:p>
    <w:p>
      <w:pPr>
        <w:pBdr/>
        <w:spacing w:after="0" w:line="240" w:lineRule="auto"/>
        <w:ind/>
        <w:jc w:val="both"/>
        <w:rPr>
          <w:rFonts w:ascii="Arial Narrow" w:hAnsi="Arial Narrow" w:eastAsia="Times New Roman" w:cs="Arial"/>
          <w:b/>
          <w:sz w:val="24"/>
          <w:szCs w:val="24"/>
          <w:lang w:eastAsia="fr-FR"/>
        </w:rPr>
      </w:pP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</w:p>
    <w:p>
      <w:pPr>
        <w:pBdr/>
        <w:spacing w:after="0" w:line="276" w:lineRule="auto"/>
        <w:ind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Pour du matériel acheté en 2026, les dossiers complets doivent être transmis à la Ville entre le </w:t>
      </w:r>
      <w:r>
        <w:rPr>
          <w:rFonts w:ascii="Arial Narrow" w:hAnsi="Arial Narrow" w:cs="Arial"/>
          <w:b/>
          <w:sz w:val="24"/>
          <w:szCs w:val="24"/>
        </w:rPr>
        <w:t xml:space="preserve">1</w:t>
      </w:r>
      <w:r>
        <w:rPr>
          <w:rFonts w:ascii="Arial Narrow" w:hAnsi="Arial Narrow" w:cs="Arial"/>
          <w:b/>
          <w:sz w:val="24"/>
          <w:szCs w:val="24"/>
          <w:vertAlign w:val="superscript"/>
        </w:rPr>
        <w:t xml:space="preserve">er</w:t>
      </w:r>
      <w:r>
        <w:rPr>
          <w:rFonts w:ascii="Arial Narrow" w:hAnsi="Arial Narrow" w:cs="Arial"/>
          <w:b/>
          <w:sz w:val="24"/>
          <w:szCs w:val="24"/>
        </w:rPr>
        <w:t xml:space="preserve"> janvier 2026 et le 31 janvier 2027.</w:t>
      </w:r>
      <w:r>
        <w:rPr>
          <w:rFonts w:ascii="Arial Narrow" w:hAnsi="Arial Narrow" w:cs="Arial"/>
          <w:sz w:val="24"/>
          <w:szCs w:val="24"/>
        </w:rPr>
        <w:t xml:space="preserve"> Au-delà de cette date, les dossiers ne seront plus acceptés par la Ville. </w:t>
      </w:r>
      <w:r>
        <w:rPr>
          <w:rFonts w:ascii="Arial Narrow" w:hAnsi="Arial Narrow" w:cs="Arial"/>
          <w:sz w:val="24"/>
          <w:szCs w:val="24"/>
        </w:rPr>
      </w:r>
      <w:r>
        <w:rPr>
          <w:rFonts w:ascii="Arial Narrow" w:hAnsi="Arial Narrow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 Narrow" w:hAnsi="Arial Narrow" w:eastAsia="Times New Roman" w:cs="Arial"/>
          <w:b/>
          <w:sz w:val="28"/>
          <w:szCs w:val="28"/>
          <w:lang w:eastAsia="fr-FR"/>
        </w:rPr>
      </w:pP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</w:p>
    <w:p>
      <w:pPr>
        <w:pBdr/>
        <w:spacing w:after="0" w:line="240" w:lineRule="auto"/>
        <w:ind/>
        <w:rPr>
          <w:rFonts w:ascii="Arial Narrow" w:hAnsi="Arial Narrow" w:eastAsia="Times New Roman" w:cs="Arial"/>
          <w:b/>
          <w:sz w:val="28"/>
          <w:szCs w:val="28"/>
          <w:lang w:eastAsia="fr-FR"/>
        </w:rPr>
      </w:pP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  <w:t xml:space="preserve">Article 6 – Sanction en cas de détournement de la subvention </w:t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</w:p>
    <w:p>
      <w:pPr>
        <w:pBdr/>
        <w:spacing w:after="0" w:line="240" w:lineRule="auto"/>
        <w:ind/>
        <w:rPr>
          <w:rFonts w:ascii="Arial Narrow" w:hAnsi="Arial Narrow" w:eastAsia="Times New Roman" w:cs="Arial"/>
          <w:b/>
          <w:sz w:val="28"/>
          <w:szCs w:val="28"/>
          <w:lang w:eastAsia="fr-FR"/>
        </w:rPr>
      </w:pP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  <w:r>
        <w:rPr>
          <w:rFonts w:ascii="Arial Narrow" w:hAnsi="Arial Narrow" w:eastAsia="Times New Roman" w:cs="Arial"/>
          <w:b/>
          <w:sz w:val="28"/>
          <w:szCs w:val="28"/>
          <w:lang w:eastAsia="fr-FR"/>
        </w:rPr>
      </w:r>
    </w:p>
    <w:p>
      <w:pPr>
        <w:pBdr/>
        <w:spacing w:after="0" w:line="276" w:lineRule="auto"/>
        <w:ind/>
        <w:jc w:val="both"/>
        <w:rPr>
          <w:rFonts w:ascii="Arial Narrow" w:hAnsi="Arial Narrow" w:eastAsia="Times New Roman" w:cs="Arial"/>
          <w:b/>
          <w:sz w:val="24"/>
          <w:szCs w:val="24"/>
          <w:lang w:eastAsia="fr-FR"/>
        </w:rPr>
      </w:pPr>
      <w:r>
        <w:rPr>
          <w:rStyle w:val="992"/>
          <w:rFonts w:ascii="Arial Narrow" w:hAnsi="Arial Narrow" w:cs="Arial"/>
          <w:sz w:val="24"/>
          <w:szCs w:val="24"/>
        </w:rPr>
        <w:t xml:space="preserve">Le détournement de la subvention notamment en cas d’achat pour revente, est susceptible d’être</w:t>
      </w:r>
      <w:r>
        <w:rPr>
          <w:rFonts w:ascii="Arial Narrow" w:hAnsi="Arial Narrow"/>
          <w:sz w:val="24"/>
          <w:szCs w:val="24"/>
        </w:rPr>
        <w:br/>
      </w:r>
      <w:r>
        <w:rPr>
          <w:rStyle w:val="992"/>
          <w:rFonts w:ascii="Arial Narrow" w:hAnsi="Arial Narrow" w:cs="Arial"/>
          <w:sz w:val="24"/>
          <w:szCs w:val="24"/>
        </w:rPr>
        <w:t xml:space="preserve">qualifié d’abus de confiance et rend son auteur passible des sanctions prévues par l’article 314-1 du</w:t>
      </w:r>
      <w:r>
        <w:rPr>
          <w:rFonts w:ascii="Arial Narrow" w:hAnsi="Arial Narrow"/>
          <w:sz w:val="24"/>
          <w:szCs w:val="24"/>
        </w:rPr>
        <w:br/>
      </w:r>
      <w:r>
        <w:rPr>
          <w:rStyle w:val="992"/>
          <w:rFonts w:ascii="Arial Narrow" w:hAnsi="Arial Narrow" w:cs="Arial"/>
          <w:sz w:val="24"/>
          <w:szCs w:val="24"/>
        </w:rPr>
        <w:t xml:space="preserve">code pénal.</w:t>
      </w: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</w:p>
    <w:p>
      <w:pPr>
        <w:pBdr/>
        <w:spacing/>
        <w:ind/>
        <w:jc w:val="both"/>
        <w:rPr>
          <w:rFonts w:ascii="Arial Narrow" w:hAnsi="Arial Narrow" w:eastAsia="Times New Roman" w:cs="Arial"/>
          <w:b/>
          <w:sz w:val="24"/>
          <w:szCs w:val="24"/>
          <w:lang w:eastAsia="fr-FR"/>
        </w:rPr>
      </w:pP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  <w:r>
        <w:rPr>
          <w:rFonts w:ascii="Arial Narrow" w:hAnsi="Arial Narrow" w:eastAsia="Times New Roman" w:cs="Arial"/>
          <w:b/>
          <w:sz w:val="24"/>
          <w:szCs w:val="24"/>
          <w:lang w:eastAsia="fr-FR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Narrow">
    <w:panose1 w:val="020B050602020203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9266620"/>
      <w:docPartObj>
        <w:docPartGallery w:val="Page Numbers (Bottom of Page)"/>
        <w:docPartUnique w:val="true"/>
      </w:docPartObj>
      <w:rPr/>
    </w:sdtPr>
    <w:sdtContent>
      <w:p>
        <w:pPr>
          <w:pStyle w:val="990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90"/>
      <w:pBdr/>
      <w:spacing/>
      <w:ind/>
      <w:jc w:val="right"/>
      <w:rPr>
        <w:color w:val="000000"/>
      </w:rP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rPr/>
    </w:pPr>
    <w:r/>
    <w:r/>
  </w:p>
  <w:p>
    <w:pPr>
      <w:pBdr/>
      <w:spacing/>
      <w:ind/>
      <w:rPr/>
    </w:pPr>
    <w:r/>
    <w:r/>
  </w:p>
  <w:p>
    <w:pPr>
      <w:pStyle w:val="990"/>
      <w:pBdr/>
      <w:spacing/>
      <w:ind/>
      <w:rPr/>
    </w:pPr>
    <w:r/>
    <w:r/>
  </w:p>
  <w:p>
    <w:pPr>
      <w:pBdr/>
      <w:spacing/>
      <w:ind/>
      <w:rPr/>
    </w:pPr>
    <w:r/>
    <w:r/>
  </w:p>
  <w:p>
    <w:pPr>
      <w:pStyle w:val="990"/>
      <w:pBdr/>
      <w:spacing/>
      <w:ind/>
      <w:jc w:val="right"/>
      <w:rPr>
        <w:rFonts w:ascii="Arial Narrow" w:hAnsi="Arial Narrow" w:eastAsia="Arial Narrow" w:cs="Arial Narrow"/>
        <w:b/>
        <w:bCs/>
        <w:i/>
        <w:color w:val="ff0000"/>
        <w:sz w:val="18"/>
        <w:szCs w:val="18"/>
        <w:highlight w:val="none"/>
      </w:rPr>
    </w:pPr>
    <w:r>
      <w:rPr>
        <w:rFonts w:ascii="Arial Narrow" w:hAnsi="Arial Narrow" w:eastAsia="Arial Narrow" w:cs="Arial Narrow"/>
        <w:i/>
        <w:color w:val="a6a6a6" w:themeColor="background1" w:themeShade="A6"/>
        <w:sz w:val="18"/>
      </w:rPr>
      <w:t xml:space="preserve">Règlement d’attribution d’une aide financière à l’acquisition d’un VAE, </w:t>
    </w:r>
    <w:r>
      <w:rPr>
        <w:rFonts w:ascii="Arial Narrow" w:hAnsi="Arial Narrow" w:cs="Arial"/>
        <w:i/>
        <w:color w:val="a6a6a6" w:themeColor="background1" w:themeShade="A6"/>
        <w:sz w:val="18"/>
        <w:szCs w:val="30"/>
      </w:rPr>
      <w:t xml:space="preserve">d’un vélo cargo, d’un vélo pliant, d’un kit de transformation de vélo classique en VAE, ou d’un châssis adaptable sur vélo classique pour en faire un tripor</w:t>
    </w:r>
    <w:r>
      <w:rPr>
        <w:rFonts w:ascii="Arial Narrow" w:hAnsi="Arial Narrow" w:cs="Arial"/>
        <w:i/>
        <w:color w:val="a6a6a6" w:themeColor="background1" w:themeShade="A6"/>
        <w:sz w:val="18"/>
        <w:szCs w:val="30"/>
      </w:rPr>
      <w:t xml:space="preserve">teur</w:t>
    </w:r>
    <w:r>
      <w:rPr>
        <w:rFonts w:ascii="Arial Narrow" w:hAnsi="Arial Narrow" w:eastAsia="Arial Narrow" w:cs="Arial Narrow"/>
        <w:i/>
        <w:color w:val="a6a6a6" w:themeColor="background1" w:themeShade="A6"/>
        <w:sz w:val="18"/>
      </w:rPr>
      <w:t xml:space="preserve"> </w:t>
    </w:r>
    <w:r>
      <w:rPr>
        <w:rFonts w:ascii="Arial Narrow" w:hAnsi="Arial Narrow" w:eastAsia="Arial Narrow" w:cs="Arial Narrow"/>
        <w:i/>
        <w:sz w:val="18"/>
      </w:rPr>
      <w:t xml:space="preserve"> – </w:t>
    </w:r>
    <w:r>
      <w:rPr>
        <w:rFonts w:ascii="Arial Narrow" w:hAnsi="Arial Narrow" w:eastAsia="Arial Narrow" w:cs="Arial Narrow"/>
        <w:b/>
        <w:i/>
        <w:color w:val="000000" w:themeColor="text1"/>
        <w:sz w:val="18"/>
      </w:rPr>
      <w:t xml:space="preserve">version en vigueur au</w:t>
    </w:r>
    <w:r>
      <w:rPr>
        <w:rFonts w:ascii="Arial Narrow" w:hAnsi="Arial Narrow" w:eastAsia="Arial Narrow" w:cs="Arial Narrow"/>
        <w:i/>
        <w:color w:val="000000" w:themeColor="text1"/>
        <w:sz w:val="18"/>
      </w:rPr>
      <w:t xml:space="preserve"> </w:t>
    </w:r>
    <w:r>
      <w:rPr>
        <w:rFonts w:ascii="Arial Narrow" w:hAnsi="Arial Narrow" w:eastAsia="Arial Narrow" w:cs="Arial Narrow"/>
        <w:b/>
        <w:i/>
        <w:color w:val="ff0000"/>
        <w:sz w:val="18"/>
      </w:rPr>
      <w:t xml:space="preserve">1</w:t>
    </w:r>
    <w:r>
      <w:rPr>
        <w:rFonts w:ascii="Arial Narrow" w:hAnsi="Arial Narrow" w:eastAsia="Arial Narrow" w:cs="Arial Narrow"/>
        <w:b/>
        <w:i/>
        <w:color w:val="ff0000"/>
        <w:sz w:val="18"/>
        <w:vertAlign w:val="superscript"/>
      </w:rPr>
      <w:t xml:space="preserve">er</w:t>
    </w:r>
    <w:r>
      <w:rPr>
        <w:rFonts w:ascii="Arial Narrow" w:hAnsi="Arial Narrow" w:eastAsia="Arial Narrow" w:cs="Arial Narrow"/>
        <w:b/>
        <w:i/>
        <w:color w:val="ff0000"/>
        <w:sz w:val="18"/>
      </w:rPr>
      <w:t xml:space="preserve"> janvier 2026</w:t>
    </w:r>
    <w:r>
      <w:rPr>
        <w:rFonts w:ascii="Arial Narrow" w:hAnsi="Arial Narrow" w:eastAsia="Arial Narrow" w:cs="Arial Narrow"/>
        <w:b/>
        <w:bCs/>
        <w:i/>
        <w:color w:val="ff0000"/>
        <w:sz w:val="18"/>
        <w:szCs w:val="18"/>
        <w:highlight w:val="none"/>
      </w:rPr>
    </w:r>
    <w:r>
      <w:rPr>
        <w:rFonts w:ascii="Arial Narrow" w:hAnsi="Arial Narrow" w:eastAsia="Arial Narrow" w:cs="Arial Narrow"/>
        <w:b/>
        <w:bCs/>
        <w:i/>
        <w:color w:val="ff0000"/>
        <w:sz w:val="18"/>
        <w:szCs w:val="18"/>
        <w:highlight w:val="none"/>
      </w:rPr>
    </w:r>
  </w:p>
  <w:p>
    <w:pPr>
      <w:pStyle w:val="98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107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9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1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3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5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7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9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1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3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36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44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12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2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68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39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7104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Arial Narrow" w:hAnsi="Arial Narrow" w:cs="Arial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36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180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52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396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468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12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6">
    <w:name w:val="Intense Emphasis"/>
    <w:basedOn w:val="81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87">
    <w:name w:val="Intense Reference"/>
    <w:basedOn w:val="81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88">
    <w:name w:val="Subtle Emphasis"/>
    <w:basedOn w:val="8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9">
    <w:name w:val="Emphasis"/>
    <w:basedOn w:val="819"/>
    <w:uiPriority w:val="20"/>
    <w:qFormat/>
    <w:pPr>
      <w:pBdr/>
      <w:spacing/>
      <w:ind/>
    </w:pPr>
    <w:rPr>
      <w:i/>
      <w:iCs/>
    </w:rPr>
  </w:style>
  <w:style w:type="character" w:styleId="790">
    <w:name w:val="Strong"/>
    <w:basedOn w:val="819"/>
    <w:uiPriority w:val="22"/>
    <w:qFormat/>
    <w:pPr>
      <w:pBdr/>
      <w:spacing/>
      <w:ind/>
    </w:pPr>
    <w:rPr>
      <w:b/>
      <w:bCs/>
    </w:rPr>
  </w:style>
  <w:style w:type="character" w:styleId="791">
    <w:name w:val="Subtle Reference"/>
    <w:basedOn w:val="8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2">
    <w:name w:val="Book Title"/>
    <w:basedOn w:val="81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3">
    <w:name w:val="FollowedHyperlink"/>
    <w:basedOn w:val="81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94">
    <w:name w:val="Heading 1 Char"/>
    <w:basedOn w:val="819"/>
    <w:link w:val="81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5">
    <w:name w:val="Heading 2 Char"/>
    <w:basedOn w:val="819"/>
    <w:link w:val="81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6">
    <w:name w:val="Heading 3 Char"/>
    <w:basedOn w:val="819"/>
    <w:link w:val="81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7">
    <w:name w:val="Heading 4 Char"/>
    <w:basedOn w:val="819"/>
    <w:link w:val="81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8">
    <w:name w:val="Heading 5 Char"/>
    <w:basedOn w:val="819"/>
    <w:link w:val="81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9">
    <w:name w:val="Heading 6 Char"/>
    <w:basedOn w:val="819"/>
    <w:link w:val="81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0">
    <w:name w:val="Heading 7 Char"/>
    <w:basedOn w:val="819"/>
    <w:link w:val="81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1">
    <w:name w:val="Heading 8 Char"/>
    <w:basedOn w:val="819"/>
    <w:link w:val="81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2">
    <w:name w:val="Heading 9 Char"/>
    <w:basedOn w:val="819"/>
    <w:link w:val="81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03">
    <w:name w:val="Title Char"/>
    <w:basedOn w:val="819"/>
    <w:link w:val="832"/>
    <w:uiPriority w:val="10"/>
    <w:pPr>
      <w:pBdr/>
      <w:spacing/>
      <w:ind/>
    </w:pPr>
    <w:rPr>
      <w:sz w:val="48"/>
      <w:szCs w:val="48"/>
    </w:rPr>
  </w:style>
  <w:style w:type="character" w:styleId="804">
    <w:name w:val="Subtitle Char"/>
    <w:basedOn w:val="819"/>
    <w:link w:val="834"/>
    <w:uiPriority w:val="11"/>
    <w:pPr>
      <w:pBdr/>
      <w:spacing/>
      <w:ind/>
    </w:pPr>
    <w:rPr>
      <w:sz w:val="24"/>
      <w:szCs w:val="24"/>
    </w:rPr>
  </w:style>
  <w:style w:type="character" w:styleId="805">
    <w:name w:val="Quote Char"/>
    <w:link w:val="836"/>
    <w:uiPriority w:val="29"/>
    <w:pPr>
      <w:pBdr/>
      <w:spacing/>
      <w:ind/>
    </w:pPr>
    <w:rPr>
      <w:i/>
    </w:rPr>
  </w:style>
  <w:style w:type="character" w:styleId="806">
    <w:name w:val="Intense Quote Char"/>
    <w:link w:val="838"/>
    <w:uiPriority w:val="30"/>
    <w:pPr>
      <w:pBdr/>
      <w:spacing/>
      <w:ind/>
    </w:pPr>
    <w:rPr>
      <w:i/>
    </w:rPr>
  </w:style>
  <w:style w:type="character" w:styleId="807">
    <w:name w:val="Footnote Text Char"/>
    <w:link w:val="971"/>
    <w:uiPriority w:val="99"/>
    <w:pPr>
      <w:pBdr/>
      <w:spacing/>
      <w:ind/>
    </w:pPr>
    <w:rPr>
      <w:sz w:val="18"/>
    </w:rPr>
  </w:style>
  <w:style w:type="character" w:styleId="808">
    <w:name w:val="Endnote Text Char"/>
    <w:link w:val="974"/>
    <w:uiPriority w:val="99"/>
    <w:pPr>
      <w:pBdr/>
      <w:spacing/>
      <w:ind/>
    </w:pPr>
    <w:rPr>
      <w:sz w:val="20"/>
    </w:rPr>
  </w:style>
  <w:style w:type="paragraph" w:styleId="809" w:default="1">
    <w:name w:val="Normal"/>
    <w:qFormat/>
    <w:pPr>
      <w:pBdr/>
      <w:spacing/>
      <w:ind/>
    </w:pPr>
  </w:style>
  <w:style w:type="paragraph" w:styleId="810">
    <w:name w:val="Heading 1"/>
    <w:basedOn w:val="809"/>
    <w:next w:val="809"/>
    <w:link w:val="82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11">
    <w:name w:val="Heading 2"/>
    <w:basedOn w:val="809"/>
    <w:next w:val="809"/>
    <w:link w:val="82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12">
    <w:name w:val="Heading 3"/>
    <w:basedOn w:val="809"/>
    <w:next w:val="809"/>
    <w:link w:val="82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13">
    <w:name w:val="Heading 4"/>
    <w:basedOn w:val="809"/>
    <w:next w:val="809"/>
    <w:link w:val="82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4">
    <w:name w:val="Heading 5"/>
    <w:basedOn w:val="809"/>
    <w:next w:val="809"/>
    <w:link w:val="82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5">
    <w:name w:val="Heading 6"/>
    <w:basedOn w:val="809"/>
    <w:next w:val="809"/>
    <w:link w:val="82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816">
    <w:name w:val="Heading 7"/>
    <w:basedOn w:val="809"/>
    <w:next w:val="809"/>
    <w:link w:val="82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17">
    <w:name w:val="Heading 8"/>
    <w:basedOn w:val="809"/>
    <w:next w:val="809"/>
    <w:link w:val="82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818">
    <w:name w:val="Heading 9"/>
    <w:basedOn w:val="809"/>
    <w:next w:val="809"/>
    <w:link w:val="8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9" w:default="1">
    <w:name w:val="Default Paragraph Font"/>
    <w:uiPriority w:val="1"/>
    <w:semiHidden/>
    <w:unhideWhenUsed/>
    <w:pPr>
      <w:pBdr/>
      <w:spacing/>
      <w:ind/>
    </w:pPr>
  </w:style>
  <w:style w:type="table" w:styleId="82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1" w:default="1">
    <w:name w:val="No List"/>
    <w:uiPriority w:val="99"/>
    <w:semiHidden/>
    <w:unhideWhenUsed/>
    <w:pPr>
      <w:pBdr/>
      <w:spacing/>
      <w:ind/>
    </w:pPr>
  </w:style>
  <w:style w:type="character" w:styleId="822" w:customStyle="1">
    <w:name w:val="Titre 1 Car"/>
    <w:basedOn w:val="819"/>
    <w:link w:val="81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3" w:customStyle="1">
    <w:name w:val="Titre 2 Car"/>
    <w:basedOn w:val="819"/>
    <w:link w:val="81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4" w:customStyle="1">
    <w:name w:val="Titre 3 Car"/>
    <w:basedOn w:val="819"/>
    <w:link w:val="81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5" w:customStyle="1">
    <w:name w:val="Titre 4 Car"/>
    <w:basedOn w:val="819"/>
    <w:link w:val="81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6" w:customStyle="1">
    <w:name w:val="Titre 5 Car"/>
    <w:basedOn w:val="819"/>
    <w:link w:val="81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7" w:customStyle="1">
    <w:name w:val="Titre 6 Car"/>
    <w:basedOn w:val="819"/>
    <w:link w:val="81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8" w:customStyle="1">
    <w:name w:val="Titre 7 Car"/>
    <w:basedOn w:val="819"/>
    <w:link w:val="81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9" w:customStyle="1">
    <w:name w:val="Titre 8 Car"/>
    <w:basedOn w:val="819"/>
    <w:link w:val="81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0" w:customStyle="1">
    <w:name w:val="Titre 9 Car"/>
    <w:basedOn w:val="819"/>
    <w:link w:val="81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31">
    <w:name w:val="No Spacing"/>
    <w:uiPriority w:val="1"/>
    <w:qFormat/>
    <w:pPr>
      <w:pBdr/>
      <w:spacing w:after="0" w:line="240" w:lineRule="auto"/>
      <w:ind/>
    </w:pPr>
  </w:style>
  <w:style w:type="paragraph" w:styleId="832">
    <w:name w:val="Title"/>
    <w:basedOn w:val="809"/>
    <w:next w:val="809"/>
    <w:link w:val="83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33" w:customStyle="1">
    <w:name w:val="Titre Car"/>
    <w:basedOn w:val="819"/>
    <w:link w:val="832"/>
    <w:uiPriority w:val="10"/>
    <w:pPr>
      <w:pBdr/>
      <w:spacing/>
      <w:ind/>
    </w:pPr>
    <w:rPr>
      <w:sz w:val="48"/>
      <w:szCs w:val="48"/>
    </w:rPr>
  </w:style>
  <w:style w:type="paragraph" w:styleId="834">
    <w:name w:val="Subtitle"/>
    <w:basedOn w:val="809"/>
    <w:next w:val="809"/>
    <w:link w:val="83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35" w:customStyle="1">
    <w:name w:val="Sous-titre Car"/>
    <w:basedOn w:val="819"/>
    <w:link w:val="834"/>
    <w:uiPriority w:val="11"/>
    <w:pPr>
      <w:pBdr/>
      <w:spacing/>
      <w:ind/>
    </w:pPr>
    <w:rPr>
      <w:sz w:val="24"/>
      <w:szCs w:val="24"/>
    </w:rPr>
  </w:style>
  <w:style w:type="paragraph" w:styleId="836">
    <w:name w:val="Quote"/>
    <w:basedOn w:val="809"/>
    <w:next w:val="809"/>
    <w:link w:val="837"/>
    <w:uiPriority w:val="29"/>
    <w:qFormat/>
    <w:pPr>
      <w:pBdr/>
      <w:spacing/>
      <w:ind w:right="720" w:left="720"/>
    </w:pPr>
    <w:rPr>
      <w:i/>
    </w:rPr>
  </w:style>
  <w:style w:type="character" w:styleId="837" w:customStyle="1">
    <w:name w:val="Citation Car"/>
    <w:link w:val="836"/>
    <w:uiPriority w:val="29"/>
    <w:pPr>
      <w:pBdr/>
      <w:spacing/>
      <w:ind/>
    </w:pPr>
    <w:rPr>
      <w:i/>
    </w:rPr>
  </w:style>
  <w:style w:type="paragraph" w:styleId="838">
    <w:name w:val="Intense Quote"/>
    <w:basedOn w:val="809"/>
    <w:next w:val="809"/>
    <w:link w:val="83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9" w:customStyle="1">
    <w:name w:val="Citation intense Car"/>
    <w:link w:val="838"/>
    <w:uiPriority w:val="30"/>
    <w:pPr>
      <w:pBdr/>
      <w:spacing/>
      <w:ind/>
    </w:pPr>
    <w:rPr>
      <w:i/>
    </w:rPr>
  </w:style>
  <w:style w:type="character" w:styleId="840" w:customStyle="1">
    <w:name w:val="Header Char"/>
    <w:basedOn w:val="819"/>
    <w:uiPriority w:val="99"/>
    <w:pPr>
      <w:pBdr/>
      <w:spacing/>
      <w:ind/>
    </w:pPr>
  </w:style>
  <w:style w:type="character" w:styleId="841" w:customStyle="1">
    <w:name w:val="Footer Char"/>
    <w:basedOn w:val="819"/>
    <w:uiPriority w:val="99"/>
    <w:pPr>
      <w:pBdr/>
      <w:spacing/>
      <w:ind/>
    </w:pPr>
  </w:style>
  <w:style w:type="paragraph" w:styleId="842">
    <w:name w:val="Caption"/>
    <w:basedOn w:val="809"/>
    <w:next w:val="809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843" w:customStyle="1">
    <w:name w:val="Caption Char"/>
    <w:uiPriority w:val="99"/>
    <w:pPr>
      <w:pBdr/>
      <w:spacing/>
      <w:ind/>
    </w:pPr>
  </w:style>
  <w:style w:type="table" w:styleId="844">
    <w:name w:val="Table Grid"/>
    <w:basedOn w:val="82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Table Grid Light"/>
    <w:basedOn w:val="82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1"/>
    <w:basedOn w:val="82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2"/>
    <w:basedOn w:val="82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1 Light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1 Light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2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2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3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3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"/>
    <w:basedOn w:val="8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1"/>
    <w:basedOn w:val="8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4 - Accent 2"/>
    <w:basedOn w:val="8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3"/>
    <w:basedOn w:val="8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4 - Accent 4"/>
    <w:basedOn w:val="8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5"/>
    <w:basedOn w:val="8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6"/>
    <w:basedOn w:val="8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5 Dark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5 Dark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6 Colorful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7 Colorful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7 Colorful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1 Light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1 Light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2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2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3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3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4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1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2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3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4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5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6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1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2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3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4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5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6"/>
    <w:basedOn w:val="820"/>
    <w:uiPriority w:val="99"/>
    <w:pPr>
      <w:pBdr/>
      <w:spacing w:after="0" w:line="240" w:lineRule="auto"/>
      <w:ind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1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2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3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4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5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6"/>
    <w:basedOn w:val="8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0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71">
    <w:name w:val="footnote text"/>
    <w:basedOn w:val="809"/>
    <w:link w:val="97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72" w:customStyle="1">
    <w:name w:val="Note de bas de page Car"/>
    <w:link w:val="971"/>
    <w:uiPriority w:val="99"/>
    <w:pPr>
      <w:pBdr/>
      <w:spacing/>
      <w:ind/>
    </w:pPr>
    <w:rPr>
      <w:sz w:val="18"/>
    </w:rPr>
  </w:style>
  <w:style w:type="character" w:styleId="973">
    <w:name w:val="footnote reference"/>
    <w:basedOn w:val="819"/>
    <w:uiPriority w:val="99"/>
    <w:unhideWhenUsed/>
    <w:pPr>
      <w:pBdr/>
      <w:spacing/>
      <w:ind/>
    </w:pPr>
    <w:rPr>
      <w:vertAlign w:val="superscript"/>
    </w:rPr>
  </w:style>
  <w:style w:type="paragraph" w:styleId="974">
    <w:name w:val="endnote text"/>
    <w:basedOn w:val="809"/>
    <w:link w:val="97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75" w:customStyle="1">
    <w:name w:val="Note de fin Car"/>
    <w:link w:val="974"/>
    <w:uiPriority w:val="99"/>
    <w:pPr>
      <w:pBdr/>
      <w:spacing/>
      <w:ind/>
    </w:pPr>
    <w:rPr>
      <w:sz w:val="20"/>
    </w:rPr>
  </w:style>
  <w:style w:type="character" w:styleId="976">
    <w:name w:val="endnote reference"/>
    <w:basedOn w:val="819"/>
    <w:uiPriority w:val="99"/>
    <w:semiHidden/>
    <w:unhideWhenUsed/>
    <w:pPr>
      <w:pBdr/>
      <w:spacing/>
      <w:ind/>
    </w:pPr>
    <w:rPr>
      <w:vertAlign w:val="superscript"/>
    </w:rPr>
  </w:style>
  <w:style w:type="paragraph" w:styleId="977">
    <w:name w:val="toc 1"/>
    <w:basedOn w:val="809"/>
    <w:next w:val="809"/>
    <w:uiPriority w:val="39"/>
    <w:unhideWhenUsed/>
    <w:pPr>
      <w:pBdr/>
      <w:spacing w:after="57"/>
      <w:ind/>
    </w:pPr>
  </w:style>
  <w:style w:type="paragraph" w:styleId="978">
    <w:name w:val="toc 2"/>
    <w:basedOn w:val="809"/>
    <w:next w:val="809"/>
    <w:uiPriority w:val="39"/>
    <w:unhideWhenUsed/>
    <w:pPr>
      <w:pBdr/>
      <w:spacing w:after="57"/>
      <w:ind w:left="283"/>
    </w:pPr>
  </w:style>
  <w:style w:type="paragraph" w:styleId="979">
    <w:name w:val="toc 3"/>
    <w:basedOn w:val="809"/>
    <w:next w:val="809"/>
    <w:uiPriority w:val="39"/>
    <w:unhideWhenUsed/>
    <w:pPr>
      <w:pBdr/>
      <w:spacing w:after="57"/>
      <w:ind w:left="567"/>
    </w:pPr>
  </w:style>
  <w:style w:type="paragraph" w:styleId="980">
    <w:name w:val="toc 4"/>
    <w:basedOn w:val="809"/>
    <w:next w:val="809"/>
    <w:uiPriority w:val="39"/>
    <w:unhideWhenUsed/>
    <w:pPr>
      <w:pBdr/>
      <w:spacing w:after="57"/>
      <w:ind w:left="850"/>
    </w:pPr>
  </w:style>
  <w:style w:type="paragraph" w:styleId="981">
    <w:name w:val="toc 5"/>
    <w:basedOn w:val="809"/>
    <w:next w:val="809"/>
    <w:uiPriority w:val="39"/>
    <w:unhideWhenUsed/>
    <w:pPr>
      <w:pBdr/>
      <w:spacing w:after="57"/>
      <w:ind w:left="1134"/>
    </w:pPr>
  </w:style>
  <w:style w:type="paragraph" w:styleId="982">
    <w:name w:val="toc 6"/>
    <w:basedOn w:val="809"/>
    <w:next w:val="809"/>
    <w:uiPriority w:val="39"/>
    <w:unhideWhenUsed/>
    <w:pPr>
      <w:pBdr/>
      <w:spacing w:after="57"/>
      <w:ind w:left="1417"/>
    </w:pPr>
  </w:style>
  <w:style w:type="paragraph" w:styleId="983">
    <w:name w:val="toc 7"/>
    <w:basedOn w:val="809"/>
    <w:next w:val="809"/>
    <w:uiPriority w:val="39"/>
    <w:unhideWhenUsed/>
    <w:pPr>
      <w:pBdr/>
      <w:spacing w:after="57"/>
      <w:ind w:left="1701"/>
    </w:pPr>
  </w:style>
  <w:style w:type="paragraph" w:styleId="984">
    <w:name w:val="toc 8"/>
    <w:basedOn w:val="809"/>
    <w:next w:val="809"/>
    <w:uiPriority w:val="39"/>
    <w:unhideWhenUsed/>
    <w:pPr>
      <w:pBdr/>
      <w:spacing w:after="57"/>
      <w:ind w:left="1984"/>
    </w:pPr>
  </w:style>
  <w:style w:type="paragraph" w:styleId="985">
    <w:name w:val="toc 9"/>
    <w:basedOn w:val="809"/>
    <w:next w:val="809"/>
    <w:uiPriority w:val="39"/>
    <w:unhideWhenUsed/>
    <w:pPr>
      <w:pBdr/>
      <w:spacing w:after="57"/>
      <w:ind w:left="2268"/>
    </w:pPr>
  </w:style>
  <w:style w:type="paragraph" w:styleId="986">
    <w:name w:val="TOC Heading"/>
    <w:uiPriority w:val="39"/>
    <w:unhideWhenUsed/>
    <w:pPr>
      <w:pBdr/>
      <w:spacing/>
      <w:ind/>
    </w:pPr>
  </w:style>
  <w:style w:type="paragraph" w:styleId="987">
    <w:name w:val="table of figures"/>
    <w:basedOn w:val="809"/>
    <w:next w:val="809"/>
    <w:uiPriority w:val="99"/>
    <w:unhideWhenUsed/>
    <w:pPr>
      <w:pBdr/>
      <w:spacing w:after="0"/>
      <w:ind/>
    </w:pPr>
  </w:style>
  <w:style w:type="paragraph" w:styleId="988">
    <w:name w:val="Header"/>
    <w:basedOn w:val="809"/>
    <w:link w:val="98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89" w:customStyle="1">
    <w:name w:val="En-tête Car"/>
    <w:basedOn w:val="819"/>
    <w:link w:val="988"/>
    <w:uiPriority w:val="99"/>
    <w:pPr>
      <w:pBdr/>
      <w:spacing/>
      <w:ind/>
    </w:pPr>
  </w:style>
  <w:style w:type="paragraph" w:styleId="990">
    <w:name w:val="Footer"/>
    <w:basedOn w:val="809"/>
    <w:link w:val="991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91" w:customStyle="1">
    <w:name w:val="Pied de page Car"/>
    <w:basedOn w:val="819"/>
    <w:link w:val="990"/>
    <w:uiPriority w:val="99"/>
    <w:pPr>
      <w:pBdr/>
      <w:spacing/>
      <w:ind/>
    </w:pPr>
  </w:style>
  <w:style w:type="character" w:styleId="992" w:customStyle="1">
    <w:name w:val="markedcontent"/>
    <w:basedOn w:val="819"/>
    <w:pPr>
      <w:pBdr/>
      <w:spacing/>
      <w:ind/>
    </w:pPr>
  </w:style>
  <w:style w:type="paragraph" w:styleId="993">
    <w:name w:val="List Paragraph"/>
    <w:basedOn w:val="80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footer1.xml" Type="http://schemas.openxmlformats.org/officeDocument/2006/relationships/footer"/><Relationship Id="rId11" Target="media/image1.jpg" Type="http://schemas.openxmlformats.org/officeDocument/2006/relationships/imag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numbering.xml" Type="http://schemas.openxmlformats.org/officeDocument/2006/relationships/numbering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onlyoffice/8.3.3.18</Application>
  <DocSecurity>0</DocSecurity>
  <ScaleCrop>0</ScaleCrop>
  <HeadingPairs>
    <vt:vector size="0" baseType="variant"/>
  </HeadingPairs>
  <TitlesOfParts>
    <vt:vector size="0" baseType="lpstr"/>
  </TitlesOfParts>
  <Company>Mairie de Rillieux La Pape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2023-01-31T08:06:00Z</dcterms:created>
  <dc:creator>Mathilde RIGOLOT</dc:creator>
  <cp:lastModifiedBy>rigolot</cp:lastModifiedBy>
  <dcterms:modified xsi:type="dcterms:W3CDTF">2026-04-20T07:51:14Z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1.2</vt:lpwstr>
  </property>
</Properties>
</file>